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54" w:rsidRPr="003A2B7B" w:rsidRDefault="00E41154" w:rsidP="00E41154">
      <w:pPr>
        <w:rPr>
          <w:rFonts w:ascii="Times New Roman" w:hAnsi="Times New Roman" w:cs="Times New Roman"/>
          <w:b/>
          <w:sz w:val="21"/>
          <w:szCs w:val="21"/>
        </w:rPr>
      </w:pPr>
      <w:bookmarkStart w:id="0" w:name="_GoBack"/>
      <w:bookmarkEnd w:id="0"/>
      <w:r w:rsidRPr="003A2B7B">
        <w:rPr>
          <w:rFonts w:ascii="Times New Roman" w:hAnsi="Times New Roman" w:cs="Times New Roman"/>
          <w:b/>
          <w:sz w:val="21"/>
          <w:szCs w:val="21"/>
        </w:rPr>
        <w:t>О юридически значимых сообщениях по электронной почте в контрольной (надзорной) деятельности</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Исходя из п. 1, ст. 165.1 ГК РФ, п. 65, 67 постановления Пленума ВС РФ от 23.06.2015 № 25, заявления, уведомления, извещения, требования или иные юридически значимые сообщения, с которыми закон связывает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 xml:space="preserve"> 😘Юридически значимое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Например, сообщение считается доставленным, если адресат уклонился от получения корреспонденции в отделении связи, в </w:t>
      </w:r>
      <w:proofErr w:type="gramStart"/>
      <w:r w:rsidRPr="003A2B7B">
        <w:rPr>
          <w:rFonts w:ascii="Times New Roman" w:hAnsi="Times New Roman" w:cs="Times New Roman"/>
          <w:sz w:val="21"/>
          <w:szCs w:val="21"/>
        </w:rPr>
        <w:t>связи</w:t>
      </w:r>
      <w:proofErr w:type="gramEnd"/>
      <w:r w:rsidRPr="003A2B7B">
        <w:rPr>
          <w:rFonts w:ascii="Times New Roman" w:hAnsi="Times New Roman" w:cs="Times New Roman"/>
          <w:sz w:val="21"/>
          <w:szCs w:val="21"/>
        </w:rPr>
        <w:t xml:space="preserve"> с чем она была возвращена по истечении срока хранения.</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 xml:space="preserve"> 😘На основании ч. 5 ст. 21 Федерального закона № 248-ФЗ:</w:t>
      </w:r>
    </w:p>
    <w:p w:rsidR="00E41154" w:rsidRPr="003A2B7B" w:rsidRDefault="00E41154" w:rsidP="00E41154">
      <w:pPr>
        <w:rPr>
          <w:rFonts w:ascii="Times New Roman" w:hAnsi="Times New Roman" w:cs="Times New Roman"/>
          <w:sz w:val="21"/>
          <w:szCs w:val="21"/>
        </w:rPr>
      </w:pPr>
      <w:proofErr w:type="gramStart"/>
      <w:r w:rsidRPr="003A2B7B">
        <w:rPr>
          <w:rFonts w:ascii="Times New Roman" w:hAnsi="Times New Roman" w:cs="Times New Roman"/>
          <w:sz w:val="21"/>
          <w:szCs w:val="21"/>
        </w:rPr>
        <w:t>контролируемое лицо считается проинформированным надлежащим образом в случае, если сведения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государственного контроля (надзора) или оказании государственных и муниципальных услуг; для информирования может использоваться адрес электронной почты, сведения о котором были представлены при государственной регистрации юридического лица.</w:t>
      </w:r>
      <w:proofErr w:type="gramEnd"/>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 xml:space="preserve"> 😘Информация, содержащаяся в ЕГРЮЛ/ИП, ЕГРН, ГИС ЖКХ и других является официальной. Поэтому адрес электронной почты, указанный в них, рассматривается судами как официальный адрес электронной почты. Не имеет значения, если при заполнении ИС этот адрес указали формально, «для галочки». Бесполезно также ссылаться на то, что организация фактически не пользуется данным адресом электронной почты или сотрудники не имеют к нему доступа (например, постановление 12 ААС по делу № А06 – 3138/2019).</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 xml:space="preserve"> 😘Контролируемое лицо несет риск неблагоприятных последствий несвоевременного прочтения (</w:t>
      </w:r>
      <w:proofErr w:type="spellStart"/>
      <w:r w:rsidRPr="003A2B7B">
        <w:rPr>
          <w:rFonts w:ascii="Times New Roman" w:hAnsi="Times New Roman" w:cs="Times New Roman"/>
          <w:sz w:val="21"/>
          <w:szCs w:val="21"/>
        </w:rPr>
        <w:t>непрочтения</w:t>
      </w:r>
      <w:proofErr w:type="spellEnd"/>
      <w:r w:rsidRPr="003A2B7B">
        <w:rPr>
          <w:rFonts w:ascii="Times New Roman" w:hAnsi="Times New Roman" w:cs="Times New Roman"/>
          <w:sz w:val="21"/>
          <w:szCs w:val="21"/>
        </w:rPr>
        <w:t>) корреспонденции, полученной по официальному адресу электронной почты (например, постановление 15 ААС по делу № А32 – 52442/2019).</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 xml:space="preserve"> 😘При этом</w:t>
      </w:r>
      <w:proofErr w:type="gramStart"/>
      <w:r w:rsidRPr="003A2B7B">
        <w:rPr>
          <w:rFonts w:ascii="Times New Roman" w:hAnsi="Times New Roman" w:cs="Times New Roman"/>
          <w:sz w:val="21"/>
          <w:szCs w:val="21"/>
        </w:rPr>
        <w:t>,</w:t>
      </w:r>
      <w:proofErr w:type="gramEnd"/>
      <w:r w:rsidRPr="003A2B7B">
        <w:rPr>
          <w:rFonts w:ascii="Times New Roman" w:hAnsi="Times New Roman" w:cs="Times New Roman"/>
          <w:sz w:val="21"/>
          <w:szCs w:val="21"/>
        </w:rPr>
        <w:t xml:space="preserve"> контрольный (надзорный) органу рекомендуется все таки обеспечить материалы для доказательства того, что информация направлена по надлежащий адрес электронной почты. </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Такими доказательствами могут быть:</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🥲уведомление об успешной доставке письма на сервер адресата;</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🥲ответные письма КЛ с отметками о получении корреспонденции или зарегистрированным секретарем входящим номером;</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🥲электронное уведомление о прочтении письма адресатом;</w:t>
      </w:r>
    </w:p>
    <w:p w:rsidR="00E41154"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 xml:space="preserve">🥲скриншот страницы, </w:t>
      </w:r>
      <w:proofErr w:type="gramStart"/>
      <w:r w:rsidRPr="003A2B7B">
        <w:rPr>
          <w:rFonts w:ascii="Times New Roman" w:hAnsi="Times New Roman" w:cs="Times New Roman"/>
          <w:sz w:val="21"/>
          <w:szCs w:val="21"/>
        </w:rPr>
        <w:t>подтверждающий</w:t>
      </w:r>
      <w:proofErr w:type="gramEnd"/>
      <w:r w:rsidRPr="003A2B7B">
        <w:rPr>
          <w:rFonts w:ascii="Times New Roman" w:hAnsi="Times New Roman" w:cs="Times New Roman"/>
          <w:sz w:val="21"/>
          <w:szCs w:val="21"/>
        </w:rPr>
        <w:t xml:space="preserve"> направление письма по электронной почте (п. 13 постановления Пленума ВС РФ от 22.06.2021 № 18).</w:t>
      </w:r>
    </w:p>
    <w:p w:rsidR="00F10190" w:rsidRPr="003A2B7B" w:rsidRDefault="00E41154" w:rsidP="00E41154">
      <w:pPr>
        <w:rPr>
          <w:rFonts w:ascii="Times New Roman" w:hAnsi="Times New Roman" w:cs="Times New Roman"/>
          <w:sz w:val="21"/>
          <w:szCs w:val="21"/>
        </w:rPr>
      </w:pPr>
      <w:r w:rsidRPr="003A2B7B">
        <w:rPr>
          <w:rFonts w:ascii="Times New Roman" w:hAnsi="Times New Roman" w:cs="Times New Roman"/>
          <w:sz w:val="21"/>
          <w:szCs w:val="21"/>
        </w:rPr>
        <w:t xml:space="preserve"> 🥸 Большинство судов исходит из того, что электронное письмо, отправленное на официальный адрес электронной почты организации, считается полученным адресатом. Здесь, по сути, работает тот же механизм, что с обычной почтой. Если письмо поступило на почтамт, а получатель не явился за ним – значит, он и несёт соответствующие риски. Так и с электронным письмом. Если оно пришло на сервер получателя, но адресат не открыл и не прочитал его – это уже его риски.</w:t>
      </w:r>
    </w:p>
    <w:sectPr w:rsidR="00F10190" w:rsidRPr="003A2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54"/>
    <w:rsid w:val="002D5D77"/>
    <w:rsid w:val="003A2B7B"/>
    <w:rsid w:val="00501D00"/>
    <w:rsid w:val="008F518C"/>
    <w:rsid w:val="009A2449"/>
    <w:rsid w:val="00E41154"/>
    <w:rsid w:val="00F1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Шулякова</dc:creator>
  <cp:lastModifiedBy>Шулякова</cp:lastModifiedBy>
  <cp:revision>8</cp:revision>
  <dcterms:created xsi:type="dcterms:W3CDTF">2024-03-25T08:14:00Z</dcterms:created>
  <dcterms:modified xsi:type="dcterms:W3CDTF">2024-03-25T08:28:00Z</dcterms:modified>
</cp:coreProperties>
</file>