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5" w:rsidRDefault="000F74A5" w:rsidP="00CD269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pt;margin-top:-19.05pt;width:116.6pt;height:118.75pt;z-index:-251658240">
            <v:imagedata r:id="rId5" o:title="" gain="69719f" blacklevel="7864f"/>
          </v:shape>
        </w:pict>
      </w:r>
    </w:p>
    <w:p w:rsidR="000F74A5" w:rsidRDefault="000F74A5" w:rsidP="00CD2691">
      <w:pPr>
        <w:pStyle w:val="BodyText"/>
        <w:ind w:left="-1560" w:right="-1276"/>
        <w:jc w:val="center"/>
        <w:rPr>
          <w:b/>
          <w:caps/>
          <w:sz w:val="42"/>
        </w:rPr>
      </w:pPr>
    </w:p>
    <w:p w:rsidR="000F74A5" w:rsidRDefault="000F74A5" w:rsidP="00CD2691">
      <w:pPr>
        <w:pStyle w:val="BodyText"/>
        <w:ind w:left="-1560" w:right="-1276"/>
        <w:jc w:val="center"/>
        <w:rPr>
          <w:b/>
          <w:caps/>
          <w:sz w:val="42"/>
        </w:rPr>
      </w:pPr>
    </w:p>
    <w:p w:rsidR="000F74A5" w:rsidRDefault="000F74A5" w:rsidP="00CD2691">
      <w:pPr>
        <w:pStyle w:val="BodyText"/>
        <w:ind w:left="-1560" w:right="-1276"/>
        <w:jc w:val="center"/>
        <w:rPr>
          <w:b/>
          <w:caps/>
          <w:sz w:val="42"/>
        </w:rPr>
      </w:pPr>
    </w:p>
    <w:p w:rsidR="000F74A5" w:rsidRDefault="000F74A5" w:rsidP="00CD2691">
      <w:pPr>
        <w:pStyle w:val="BodyText"/>
        <w:ind w:left="-1560" w:right="-1276"/>
        <w:jc w:val="center"/>
        <w:rPr>
          <w:b/>
          <w:caps/>
          <w:sz w:val="42"/>
        </w:rPr>
      </w:pPr>
    </w:p>
    <w:p w:rsidR="000F74A5" w:rsidRDefault="000F74A5" w:rsidP="00CD2691">
      <w:pPr>
        <w:pStyle w:val="1"/>
        <w:ind w:left="-1560" w:right="-1276"/>
        <w:rPr>
          <w:spacing w:val="70"/>
          <w:sz w:val="50"/>
          <w:szCs w:val="50"/>
        </w:rPr>
      </w:pPr>
      <w:r w:rsidRPr="00E96042">
        <w:rPr>
          <w:spacing w:val="70"/>
          <w:sz w:val="50"/>
          <w:szCs w:val="50"/>
        </w:rPr>
        <w:t xml:space="preserve">АДМИНИСТРАЦИЯ </w:t>
      </w:r>
    </w:p>
    <w:p w:rsidR="000F74A5" w:rsidRPr="00363F89" w:rsidRDefault="000F74A5" w:rsidP="00CD2691">
      <w:pPr>
        <w:pStyle w:val="1"/>
        <w:ind w:left="-1560" w:right="-1276"/>
        <w:rPr>
          <w:sz w:val="36"/>
          <w:szCs w:val="36"/>
        </w:rPr>
      </w:pPr>
      <w:r w:rsidRPr="00363F89">
        <w:rPr>
          <w:sz w:val="36"/>
          <w:szCs w:val="36"/>
        </w:rPr>
        <w:t>КОРЕНЕВСКОГО  РАЙОНА  КУРСКОЙ  ОБЛАСТИ</w:t>
      </w:r>
    </w:p>
    <w:p w:rsidR="000F74A5" w:rsidRDefault="000F74A5" w:rsidP="00CD2691"/>
    <w:p w:rsidR="000F74A5" w:rsidRPr="003D2B03" w:rsidRDefault="000F74A5" w:rsidP="00CD2691">
      <w:pPr>
        <w:pStyle w:val="BodyText"/>
        <w:ind w:left="-1560" w:right="-1276"/>
        <w:jc w:val="center"/>
        <w:rPr>
          <w:rFonts w:ascii="Arial" w:hAnsi="Arial"/>
          <w:spacing w:val="76"/>
          <w:sz w:val="36"/>
        </w:rPr>
      </w:pPr>
      <w:r>
        <w:rPr>
          <w:rFonts w:ascii="Arial" w:hAnsi="Arial"/>
          <w:spacing w:val="76"/>
          <w:sz w:val="36"/>
        </w:rPr>
        <w:t>П О С Т А Н О В Л</w:t>
      </w:r>
      <w:r w:rsidRPr="003D2B03">
        <w:rPr>
          <w:rFonts w:ascii="Arial" w:hAnsi="Arial"/>
          <w:spacing w:val="76"/>
          <w:sz w:val="36"/>
        </w:rPr>
        <w:t xml:space="preserve"> Е Н И Е</w:t>
      </w:r>
    </w:p>
    <w:p w:rsidR="000F74A5" w:rsidRPr="003D2B03" w:rsidRDefault="000F74A5" w:rsidP="00CD2691">
      <w:pPr>
        <w:pStyle w:val="1"/>
        <w:ind w:left="-284"/>
        <w:rPr>
          <w:b w:val="0"/>
          <w:sz w:val="18"/>
        </w:rPr>
      </w:pPr>
    </w:p>
    <w:p w:rsidR="000F74A5" w:rsidRDefault="000F74A5" w:rsidP="00CD2691">
      <w:pPr>
        <w:pStyle w:val="1"/>
        <w:rPr>
          <w:sz w:val="16"/>
        </w:rPr>
      </w:pPr>
    </w:p>
    <w:p w:rsidR="000F74A5" w:rsidRDefault="000F74A5" w:rsidP="00CD2691">
      <w:pPr>
        <w:pStyle w:val="1"/>
        <w:rPr>
          <w:sz w:val="4"/>
        </w:rPr>
      </w:pPr>
    </w:p>
    <w:p w:rsidR="000F74A5" w:rsidRPr="00C77BE6" w:rsidRDefault="000F74A5" w:rsidP="00E44F8D">
      <w:pPr>
        <w:pStyle w:val="1"/>
        <w:ind w:left="142"/>
        <w:jc w:val="left"/>
        <w:rPr>
          <w:b w:val="0"/>
          <w:sz w:val="18"/>
          <w:szCs w:val="18"/>
          <w:u w:val="single"/>
        </w:rPr>
      </w:pPr>
      <w:r w:rsidRPr="008E0BD6">
        <w:rPr>
          <w:b w:val="0"/>
          <w:sz w:val="28"/>
          <w:szCs w:val="28"/>
        </w:rPr>
        <w:t>от</w:t>
      </w:r>
      <w:r w:rsidRPr="00C77BE6">
        <w:rPr>
          <w:b w:val="0"/>
          <w:sz w:val="28"/>
          <w:szCs w:val="28"/>
          <w:u w:val="single"/>
        </w:rPr>
        <w:t xml:space="preserve"> 1</w:t>
      </w:r>
      <w:r>
        <w:rPr>
          <w:b w:val="0"/>
          <w:sz w:val="28"/>
          <w:szCs w:val="28"/>
          <w:u w:val="single"/>
        </w:rPr>
        <w:t>6</w:t>
      </w:r>
      <w:r w:rsidRPr="00C77BE6">
        <w:rPr>
          <w:b w:val="0"/>
          <w:sz w:val="28"/>
          <w:szCs w:val="28"/>
          <w:u w:val="single"/>
        </w:rPr>
        <w:t>.12.2014 г.</w:t>
      </w:r>
      <w:r w:rsidRPr="008E0BD6">
        <w:rPr>
          <w:b w:val="0"/>
          <w:sz w:val="28"/>
          <w:szCs w:val="28"/>
        </w:rPr>
        <w:t xml:space="preserve"> №</w:t>
      </w:r>
      <w:r w:rsidRPr="008E0BD6">
        <w:rPr>
          <w:b w:val="0"/>
          <w:sz w:val="18"/>
          <w:szCs w:val="18"/>
        </w:rPr>
        <w:t xml:space="preserve">  </w:t>
      </w:r>
      <w:r w:rsidRPr="00C77BE6">
        <w:rPr>
          <w:b w:val="0"/>
          <w:sz w:val="28"/>
          <w:szCs w:val="28"/>
          <w:u w:val="single"/>
        </w:rPr>
        <w:t>10</w:t>
      </w:r>
      <w:r>
        <w:rPr>
          <w:b w:val="0"/>
          <w:sz w:val="28"/>
          <w:szCs w:val="28"/>
          <w:u w:val="single"/>
        </w:rPr>
        <w:t>80</w:t>
      </w:r>
    </w:p>
    <w:p w:rsidR="000F74A5" w:rsidRDefault="000F74A5" w:rsidP="00CD2691">
      <w:pPr>
        <w:pStyle w:val="1"/>
        <w:ind w:left="142"/>
        <w:jc w:val="left"/>
        <w:rPr>
          <w:sz w:val="18"/>
        </w:rPr>
      </w:pPr>
      <w:r>
        <w:rPr>
          <w:sz w:val="18"/>
        </w:rPr>
        <w:t xml:space="preserve">     Курская область, 307410, пос. Коренево   </w:t>
      </w:r>
    </w:p>
    <w:p w:rsidR="000F74A5" w:rsidRDefault="000F74A5" w:rsidP="00CD2691">
      <w:pPr>
        <w:spacing w:after="0" w:line="240" w:lineRule="auto"/>
        <w:ind w:right="259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74A5" w:rsidRPr="00A216D0" w:rsidRDefault="000F74A5" w:rsidP="00A216D0">
      <w:pPr>
        <w:spacing w:after="0" w:line="240" w:lineRule="auto"/>
        <w:ind w:right="4031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A216D0">
        <w:rPr>
          <w:rFonts w:ascii="Times New Roman" w:hAnsi="Times New Roman"/>
          <w:b/>
          <w:sz w:val="28"/>
          <w:szCs w:val="24"/>
          <w:lang w:eastAsia="ru-RU"/>
        </w:rPr>
        <w:t xml:space="preserve">Об утверждении Правил  принятия решения  о подготовке и реализации бюджетных инвестиций  в объекты  муниципальной  собственности Кореневского района  Курской области 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>В соответствии с пунктом 2 статьи 79 Бюджетного кодекса Российской Федерации, Уставом муниципального района «Кореневский район» Курской  области,  Администрация  Кореневского района ПОСТАНОВЛЯЕТ: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>1. Утвердить прилагаемые Правила принятия решения о подготовке и реализации бюджетных инвестиций в объекты муниципальной собственности Кореневского района  Курской области.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 xml:space="preserve">2.  Контроль за выполнением настоящего постановления возложить на заместителя Главы Администрации Кореневского  района Курской области Е.Н. Леонтьева. 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F74A5" w:rsidRPr="00A216D0" w:rsidRDefault="000F74A5" w:rsidP="00A21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0F74A5" w:rsidRPr="00A216D0" w:rsidRDefault="000F74A5" w:rsidP="00A216D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 xml:space="preserve">Глава </w:t>
      </w:r>
    </w:p>
    <w:p w:rsidR="000F74A5" w:rsidRPr="00A216D0" w:rsidRDefault="000F74A5" w:rsidP="00A216D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A216D0">
        <w:rPr>
          <w:rFonts w:ascii="Times New Roman" w:hAnsi="Times New Roman"/>
          <w:sz w:val="28"/>
          <w:szCs w:val="24"/>
          <w:lang w:eastAsia="ru-RU"/>
        </w:rPr>
        <w:t>Кореневского района                                                                       С.И. Ковтун</w:t>
      </w:r>
    </w:p>
    <w:p w:rsidR="000F74A5" w:rsidRPr="00733DD0" w:rsidRDefault="000F74A5" w:rsidP="00733D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3DD0">
        <w:rPr>
          <w:rFonts w:ascii="Times New Roman" w:hAnsi="Times New Roman"/>
          <w:sz w:val="24"/>
          <w:szCs w:val="24"/>
          <w:lang w:eastAsia="ru-RU"/>
        </w:rPr>
        <w:t> </w:t>
      </w:r>
    </w:p>
    <w:p w:rsidR="000F74A5" w:rsidRDefault="000F74A5" w:rsidP="00733D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3DD0">
        <w:rPr>
          <w:rFonts w:ascii="Times New Roman" w:hAnsi="Times New Roman"/>
          <w:sz w:val="24"/>
          <w:szCs w:val="24"/>
          <w:lang w:eastAsia="ru-RU"/>
        </w:rPr>
        <w:t> </w:t>
      </w:r>
    </w:p>
    <w:p w:rsidR="000F74A5" w:rsidRDefault="000F74A5" w:rsidP="00733D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74A5" w:rsidRPr="0030133D" w:rsidRDefault="000F74A5" w:rsidP="0030133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133D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0F74A5" w:rsidRPr="0030133D" w:rsidRDefault="000F74A5" w:rsidP="0030133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0"/>
          <w:lang w:eastAsia="ru-RU"/>
        </w:rPr>
      </w:pPr>
      <w:r w:rsidRPr="0030133D">
        <w:rPr>
          <w:rFonts w:ascii="Times New Roman" w:hAnsi="Times New Roman"/>
          <w:sz w:val="28"/>
          <w:szCs w:val="28"/>
          <w:lang w:eastAsia="ru-RU"/>
        </w:rPr>
        <w:t>постановлением Администрации Кореневского района Курской области</w:t>
      </w:r>
    </w:p>
    <w:p w:rsidR="000F74A5" w:rsidRPr="0030133D" w:rsidRDefault="000F74A5" w:rsidP="0030133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3013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E44F8D">
        <w:rPr>
          <w:rFonts w:ascii="Times New Roman" w:hAnsi="Times New Roman"/>
          <w:sz w:val="28"/>
          <w:szCs w:val="28"/>
          <w:lang w:eastAsia="ru-RU"/>
        </w:rPr>
        <w:t>от «</w:t>
      </w:r>
      <w:r w:rsidRPr="00E44F8D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Pr="00E44F8D">
        <w:rPr>
          <w:rFonts w:ascii="Times New Roman" w:hAnsi="Times New Roman"/>
          <w:sz w:val="28"/>
          <w:szCs w:val="28"/>
          <w:lang w:eastAsia="ru-RU"/>
        </w:rPr>
        <w:t>» ______</w:t>
      </w:r>
      <w:r w:rsidRPr="00E44F8D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E44F8D">
        <w:rPr>
          <w:rFonts w:ascii="Times New Roman" w:hAnsi="Times New Roman"/>
          <w:sz w:val="28"/>
          <w:szCs w:val="28"/>
          <w:lang w:eastAsia="ru-RU"/>
        </w:rPr>
        <w:t xml:space="preserve">______2014г. № </w:t>
      </w:r>
      <w:r w:rsidRPr="00E44F8D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80</w:t>
      </w:r>
    </w:p>
    <w:p w:rsidR="000F74A5" w:rsidRDefault="000F74A5" w:rsidP="00A524D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633A7">
        <w:rPr>
          <w:rFonts w:ascii="Times New Roman" w:hAnsi="Times New Roman"/>
          <w:b/>
          <w:bCs/>
          <w:sz w:val="28"/>
          <w:szCs w:val="28"/>
          <w:lang w:eastAsia="ru-RU"/>
        </w:rPr>
        <w:t>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</w:t>
      </w:r>
      <w:r w:rsidRPr="00D633A7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</w:t>
      </w:r>
    </w:p>
    <w:p w:rsidR="000F74A5" w:rsidRPr="00D633A7" w:rsidRDefault="000F74A5" w:rsidP="003013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b/>
          <w:bCs/>
          <w:sz w:val="28"/>
          <w:szCs w:val="28"/>
          <w:lang w:eastAsia="ru-RU"/>
        </w:rPr>
        <w:t>ПРАВИЛА</w:t>
      </w:r>
    </w:p>
    <w:p w:rsidR="000F74A5" w:rsidRPr="00D633A7" w:rsidRDefault="000F74A5" w:rsidP="00CD26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ПРИНЯТИЯ  РЕШЕНИЯ  О ПОДГОТОВКЕ  И РЕАЛИЗАЦИИ  БЮДЖЕТНЫХ ИНВЕСТИЦИЙ  В ОБЪЕКТЫ  МУНИЦИПАЛЬНОЙ  СОБСТВЕННОСТИ  КОРЕНЕВСКОГО  РАЙОНА КУРСКОЙ ОБЛАСТИ       </w:t>
      </w:r>
    </w:p>
    <w:p w:rsidR="000F74A5" w:rsidRPr="00D633A7" w:rsidRDefault="000F74A5" w:rsidP="00CD26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1. Основные положения 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1. Настоящие Правила устанавливают порядок принятия решения о подготовке и реализации бюджетных инвестиций за счет средств бюджета  Кореневского  района Курской области (далее - инвестиции) в объекты капитального строительства муниципальной  собственности  Кореневского  района Курской области и (или) на приобретение объектов недвижимого имущества в муниципальную  собственность Кореневского района  Курской области (далее соответственно - объекты капитального строительства, объекты недвижимого имущества) в форме капитальных вложений в основные средства, находящиеся (которые будут находиться) в муниципальной  собственности  Кореневского  района Курской области (далее - решение).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2. Используемые в настоящих Правилах понятия означают следующее: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 на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Кореневского  района Курской области, муниципального заказчика, застройщика (заказчика) в отношении объекта капитального строительства и (или) объекта недвижимого имущества;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 на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3. Инициатором подготовки проекта решения может выступать главный распорядитель средств бюджета Кореневского  района Курской области, ответственный за реализацию мероприятия муниципальной программы  Кореневского района  Курской области,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 программу Кореневского  района  Курской области, - главный распорядитель средств бюджета Кореневского района Курской области  в пределах полномочий, определенных в установленной сфере ведения (далее - главный распорядитель).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а) приоритетов и целей развития  Кореневского  района Курской области исходя из прогнозов и программы социально-экономического развития  Кореневского  района  Курской области,  а также документов территориального планирования Кореневского  района  Курской области;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б) поручений и указаний Главы Кореневского  района  Курской области;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в) оценки эффективности использования средств бюджета Кореневского  района Курской области, направляемых на капитальные вложения;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соответственно Кореневского района  Курской области и муниципальных образований поселений.</w:t>
      </w:r>
    </w:p>
    <w:p w:rsidR="000F74A5" w:rsidRPr="00D633A7" w:rsidRDefault="000F74A5" w:rsidP="00CD2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 </w:t>
      </w:r>
    </w:p>
    <w:p w:rsidR="000F74A5" w:rsidRPr="00D633A7" w:rsidRDefault="000F74A5" w:rsidP="00CD26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II. Подготовка проекта решения</w:t>
      </w:r>
    </w:p>
    <w:p w:rsidR="000F74A5" w:rsidRPr="00D633A7" w:rsidRDefault="000F74A5" w:rsidP="00CD26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 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5. Главный распорядитель подготавливает проект решения и, в случае если проект решения предусматривает предоставление бюджетных инвестиций на строительство, реконструкцию, в том числе с элементами реставрации, на  техническое перевооружение объекта капитального строительства, либо приобретение объекта недвижимого имущества в рамках муниципальной  программы Кореневского  района  Курской области, согласовывает этот проект с ответственным исполнителем этой муниципальной  программы Кореневского  района  Курской области (если он не является одновременно ее ответственным исполнителем).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6. Проект решения подготавливается в форме проекта правового акта Администрации  Кореневского  района  Курской области.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 Кореневского  района  Курской области, направляемых на капитальные вложения, проведенной главным распорядителем совместно со структурными подразделениями  Администрации  Кореневского района Курской области, в сфере деятельности, которых  предполагается использовать указанные в настоящем абзаце объекты, в порядке, установленном Администрацией  Кореневского  района Курской области, а также документам территориального планирования  Кореневского  района Курской области в случае, если объект капитального строительства является объектом регионального значения, подлежащим отображению в этих документах.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в) наименования главного распорядителя и муниципального  заказчика;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г) наименование застройщика (заказчика);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е) срок ввода в эксплуатацию (приобретения) объекта;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8. В случае необходимости корректировки проектной документации в проекте решения могут быть предусмотрены средства бюджета Кореневского  района Курской области  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9. Главный распорядитель направляет согласованный в установленном порядке с ответственным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исполнителем муниципальной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программы  Кореневского района Курской области (в случае, если реализация инвестиционного проекта планируется в рамках мероприятия муниципальной  программы  Кореневского района Курской области) проект решения с пояснительной запиской и финансово-экономическим обоснованием  одновременно в 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Администрации К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области, отдел архитектуры,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33A7">
        <w:rPr>
          <w:rFonts w:ascii="Times New Roman" w:hAnsi="Times New Roman"/>
          <w:sz w:val="28"/>
          <w:szCs w:val="28"/>
          <w:lang w:eastAsia="ru-RU"/>
        </w:rPr>
        <w:t>строительства,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 ЖКХ,ТЭР, </w:t>
      </w:r>
      <w:r w:rsidRPr="00D633A7">
        <w:rPr>
          <w:rFonts w:ascii="Times New Roman" w:hAnsi="Times New Roman"/>
          <w:sz w:val="28"/>
          <w:szCs w:val="28"/>
          <w:lang w:eastAsia="ru-RU"/>
        </w:rPr>
        <w:t>транспорта,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33A7">
        <w:rPr>
          <w:rFonts w:ascii="Times New Roman" w:hAnsi="Times New Roman"/>
          <w:sz w:val="28"/>
          <w:szCs w:val="28"/>
          <w:lang w:eastAsia="ru-RU"/>
        </w:rPr>
        <w:t>связи и охраны окружающей среды  Администрации Кореневского  района Курской области</w:t>
      </w:r>
      <w:r>
        <w:rPr>
          <w:rFonts w:ascii="Times New Roman" w:hAnsi="Times New Roman"/>
          <w:sz w:val="28"/>
          <w:szCs w:val="28"/>
          <w:lang w:eastAsia="ru-RU"/>
        </w:rPr>
        <w:t>, управление экономики и имущественных отношений Администрации Кореневского района Курской области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  в случае, если они не являются инициаторами проекта решения, на согласование не позднее, чем за 2 месяца до определенной в установленном порядке даты представления показателей прогноза социально-экономического развития  Кореневского района Курской области и проекта бюджета Кореневского  района Курской области  на очередной финансовый год и на плановый период в комиссию по согласованию показателей соц</w:t>
      </w:r>
      <w:r>
        <w:rPr>
          <w:rFonts w:ascii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D633A7">
        <w:rPr>
          <w:rFonts w:ascii="Times New Roman" w:hAnsi="Times New Roman"/>
          <w:sz w:val="28"/>
          <w:szCs w:val="28"/>
          <w:lang w:eastAsia="ru-RU"/>
        </w:rPr>
        <w:t>Кореневского  района Курской области и проекта бюджета Кореневского  района Курской области на очередной финансовый год и  на плановый период (далее - Комиссия).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Одновременно с проектом решения в 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экономики  и имущественных отношений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Администрации Кореневского района Курской области по каждому объекту капитального строительства или объекту недвижимого имущества также направляются документы, материалы, исходные данные, необходимые для расчета указанной </w:t>
      </w:r>
      <w:r w:rsidRPr="00D633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r:id="rId6" w:anchor="Par54" w:history="1">
        <w:r w:rsidRPr="00D633A7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 третьем пункта 6</w:t>
        </w:r>
      </w:hyperlink>
      <w:r w:rsidRPr="00D633A7">
        <w:rPr>
          <w:rFonts w:ascii="Times New Roman" w:hAnsi="Times New Roman"/>
          <w:sz w:val="28"/>
          <w:szCs w:val="28"/>
          <w:lang w:eastAsia="ru-RU"/>
        </w:rPr>
        <w:t xml:space="preserve"> настоящих Правил интегральной оценки, и результаты такой интегральной оценки.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10. Оценка влияния создания объекта капитального строительства на комплексное развитие территорий соответственно  Кореневского района Курской области и муниципальных образований поселений  проводится отделом  архитектуры, строительства, ЖКХ, ТЭР, транспорта, связи   и охраны окружающей среды Администрации Кореневского района Курской области   в порядке, определяемом Администрацией Кореневского  района  Курской области, с учетом взаимной увязки этого объекта с иными объектами капитального строительства муниципальной собственности, строительство которых осуществляется либо планируется осуществить на соответствующей территории на основании документов территориального планирования  Кореневского  района Курской области.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11. Необходимым условием согласования проекта решения </w:t>
      </w:r>
      <w:r>
        <w:rPr>
          <w:rFonts w:ascii="Times New Roman" w:hAnsi="Times New Roman"/>
          <w:sz w:val="28"/>
          <w:szCs w:val="28"/>
          <w:lang w:eastAsia="ru-RU"/>
        </w:rPr>
        <w:t>управлением финансов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Администрации Кореневского  района  Курской области 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приобретения, представленного инициатором подготовки проекта решения совместно со структурными подразделениями Администрации Кореневского района Курской области, указанным в </w:t>
      </w:r>
      <w:hyperlink r:id="rId7" w:anchor="Par54" w:history="1">
        <w:r w:rsidRPr="00D633A7">
          <w:rPr>
            <w:rFonts w:ascii="Times New Roman" w:hAnsi="Times New Roman"/>
            <w:color w:val="000000"/>
            <w:sz w:val="28"/>
            <w:szCs w:val="28"/>
            <w:lang w:eastAsia="ru-RU"/>
          </w:rPr>
          <w:t>абзаце третьем пункта 6</w:t>
        </w:r>
      </w:hyperlink>
      <w:r w:rsidRPr="00D633A7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Документы и материалы, необходимые для проведения проверки обоснованности указанного расчета, представляются в 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 </w:t>
      </w:r>
      <w:r w:rsidRPr="00D633A7">
        <w:rPr>
          <w:rFonts w:ascii="Times New Roman" w:hAnsi="Times New Roman"/>
          <w:sz w:val="28"/>
          <w:szCs w:val="28"/>
          <w:lang w:eastAsia="ru-RU"/>
        </w:rPr>
        <w:t>Администрации  Кореневского  района Курской области одновременно с проектом решения.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12. Обязательным условием согласования проекта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управлением экономики и имущественных отношений Администрации 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района Курской области  является положительное заключение этого управления  об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</w:t>
      </w:r>
      <w:hyperlink r:id="rId8" w:history="1">
        <w:r w:rsidRPr="00D633A7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Порядком</w:t>
        </w:r>
      </w:hyperlink>
      <w:r w:rsidRPr="00D633A7">
        <w:rPr>
          <w:rFonts w:ascii="Times New Roman" w:hAnsi="Times New Roman"/>
          <w:sz w:val="28"/>
          <w:szCs w:val="28"/>
          <w:lang w:eastAsia="ru-RU"/>
        </w:rPr>
        <w:t xml:space="preserve"> проведения проверки инвестиционных проектов на предмет эффективности использования средств бюджета Кореневского района Курской области, направляемых на капитальные вложения).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Документы и материалы, необходимые для проведения проверки, представляются в 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экономики и имущественных отношений Администрации Кореневского района Курской области </w:t>
      </w:r>
      <w:r w:rsidRPr="00D633A7">
        <w:rPr>
          <w:rFonts w:ascii="Times New Roman" w:hAnsi="Times New Roman"/>
          <w:sz w:val="28"/>
          <w:szCs w:val="28"/>
          <w:lang w:eastAsia="ru-RU"/>
        </w:rPr>
        <w:t>одновременно с проектом решения.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13. В случае выдачи управлением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экономики и имущественных отношений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Администрации 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 Курской области отрицательного заключения об эффективности использования средств бюджет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области, направляемых на капитальные вложения, в отношении объекта капитального строительства, включенного в проект решения, либо объекта недвижимого имущества, включенного в проект решения, такой объект подлежит исключению из проекта решения.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14. Управление </w:t>
      </w:r>
      <w:r>
        <w:rPr>
          <w:rFonts w:ascii="Times New Roman" w:hAnsi="Times New Roman"/>
          <w:sz w:val="28"/>
          <w:szCs w:val="28"/>
          <w:lang w:eastAsia="ru-RU"/>
        </w:rPr>
        <w:t>финансов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Администрации  К</w:t>
      </w:r>
      <w:r>
        <w:rPr>
          <w:rFonts w:ascii="Times New Roman" w:hAnsi="Times New Roman"/>
          <w:sz w:val="28"/>
          <w:szCs w:val="28"/>
          <w:lang w:eastAsia="ru-RU"/>
        </w:rPr>
        <w:t xml:space="preserve">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  Курской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управление экономики и имущественных отношений Администрации Кореневского района Курской области,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архитектуры, строительства, </w:t>
      </w:r>
      <w:r w:rsidRPr="00D633A7">
        <w:rPr>
          <w:rFonts w:ascii="Times New Roman" w:hAnsi="Times New Roman"/>
          <w:sz w:val="28"/>
          <w:szCs w:val="28"/>
          <w:lang w:eastAsia="ru-RU"/>
        </w:rPr>
        <w:t>ЖКХ,</w:t>
      </w:r>
      <w:r>
        <w:rPr>
          <w:rFonts w:ascii="Times New Roman" w:hAnsi="Times New Roman"/>
          <w:sz w:val="28"/>
          <w:szCs w:val="28"/>
          <w:lang w:eastAsia="ru-RU"/>
        </w:rPr>
        <w:t xml:space="preserve"> ТЭР,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транспорта  </w:t>
      </w:r>
      <w:r>
        <w:rPr>
          <w:rFonts w:ascii="Times New Roman" w:hAnsi="Times New Roman"/>
          <w:sz w:val="28"/>
          <w:szCs w:val="28"/>
          <w:lang w:eastAsia="ru-RU"/>
        </w:rPr>
        <w:t>и связи Администрации Кореневского района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Курской области  рассматривают проект решения в течение 30 дней с даты его поступления.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15. После согласования проекта решения со структурными подразделениями Администрации  </w:t>
      </w:r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  Курской области, указанными в </w:t>
      </w:r>
      <w:hyperlink r:id="rId9" w:anchor="Par75" w:history="1">
        <w:r w:rsidRPr="007C71DD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пункте 14</w:t>
        </w:r>
      </w:hyperlink>
      <w:r w:rsidRPr="00D633A7">
        <w:rPr>
          <w:rFonts w:ascii="Times New Roman" w:hAnsi="Times New Roman"/>
          <w:sz w:val="28"/>
          <w:szCs w:val="28"/>
          <w:lang w:eastAsia="ru-RU"/>
        </w:rPr>
        <w:t xml:space="preserve"> настоящих Правил, а также после рассмотрения и согласования Комиссией предложений по определению бюджетных ассигнований  бюджета  </w:t>
      </w:r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очередной финансовый год и   плановый период на исполнение действующих и принимаемых расходных обязательств в части бюджетных инвестиций в объекты капитального строительства и (или) в объекты недвижимого имущества главный распорядитель вносит в установленном порядке в Администрацию  </w:t>
      </w:r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проект решения в форме проекта нормативного правового акта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 Курской области.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16. Принятые до утверждения документов территориального планирования  </w:t>
      </w:r>
      <w:r>
        <w:rPr>
          <w:rFonts w:ascii="Times New Roman" w:hAnsi="Times New Roman"/>
          <w:sz w:val="28"/>
          <w:szCs w:val="28"/>
          <w:lang w:eastAsia="ru-RU"/>
        </w:rPr>
        <w:t>Кореневского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решения в отношении объектов капитального строительства регионального значения, подлежащих отображению в документах территориального планирования Курского района  Курской области,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17. Внесение изменений в решение осуществляется в порядке, установленном настоящими Правилами для его принятия.</w:t>
      </w:r>
    </w:p>
    <w:p w:rsidR="000F74A5" w:rsidRPr="00D633A7" w:rsidRDefault="000F74A5" w:rsidP="00CD2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 xml:space="preserve">18. Главный распорядитель подготавливает сводный перечень инвестиционных проектов в соответствии с утвержденными в установленном порядке решениями в отношении объектов капитального строительства регионального значения и (или) объектов недвижимого имущества и представляет на утверждение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района Курской области не позднее определенной в установленном порядке даты представления прогноза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>района  Курской области и проекта бюджета  </w:t>
      </w:r>
      <w:r>
        <w:rPr>
          <w:rFonts w:ascii="Times New Roman" w:hAnsi="Times New Roman"/>
          <w:sz w:val="28"/>
          <w:szCs w:val="28"/>
          <w:lang w:eastAsia="ru-RU"/>
        </w:rPr>
        <w:t xml:space="preserve">Кореневского </w:t>
      </w:r>
      <w:r w:rsidRPr="00D633A7">
        <w:rPr>
          <w:rFonts w:ascii="Times New Roman" w:hAnsi="Times New Roman"/>
          <w:sz w:val="28"/>
          <w:szCs w:val="28"/>
          <w:lang w:eastAsia="ru-RU"/>
        </w:rPr>
        <w:t xml:space="preserve"> района  Курской области на очередной финансовый год и на плановый период.</w:t>
      </w:r>
    </w:p>
    <w:p w:rsidR="000F74A5" w:rsidRPr="00D633A7" w:rsidRDefault="000F74A5" w:rsidP="002F57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3A7">
        <w:rPr>
          <w:rFonts w:ascii="Times New Roman" w:hAnsi="Times New Roman"/>
          <w:sz w:val="28"/>
          <w:szCs w:val="28"/>
          <w:lang w:eastAsia="ru-RU"/>
        </w:rPr>
        <w:t>  </w:t>
      </w:r>
    </w:p>
    <w:sectPr w:rsidR="000F74A5" w:rsidRPr="00D633A7" w:rsidSect="007E454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C46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187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A48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F43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10E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C7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A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4A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65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A68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A53770"/>
    <w:multiLevelType w:val="multilevel"/>
    <w:tmpl w:val="E54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51F"/>
    <w:rsid w:val="0002788B"/>
    <w:rsid w:val="000A4443"/>
    <w:rsid w:val="000D3B66"/>
    <w:rsid w:val="000F74A5"/>
    <w:rsid w:val="00104A54"/>
    <w:rsid w:val="00110F06"/>
    <w:rsid w:val="00141B6D"/>
    <w:rsid w:val="00175310"/>
    <w:rsid w:val="001B6541"/>
    <w:rsid w:val="001F0422"/>
    <w:rsid w:val="001F1D28"/>
    <w:rsid w:val="002061CA"/>
    <w:rsid w:val="002430EC"/>
    <w:rsid w:val="002433AB"/>
    <w:rsid w:val="0024694F"/>
    <w:rsid w:val="0028129B"/>
    <w:rsid w:val="002A248C"/>
    <w:rsid w:val="002A7AE2"/>
    <w:rsid w:val="002C3BCF"/>
    <w:rsid w:val="002D5AB7"/>
    <w:rsid w:val="002F57D4"/>
    <w:rsid w:val="0030116C"/>
    <w:rsid w:val="0030133D"/>
    <w:rsid w:val="00302E0E"/>
    <w:rsid w:val="003067A3"/>
    <w:rsid w:val="00317907"/>
    <w:rsid w:val="00344B49"/>
    <w:rsid w:val="00363F89"/>
    <w:rsid w:val="003D2B03"/>
    <w:rsid w:val="003E2BEF"/>
    <w:rsid w:val="004550AB"/>
    <w:rsid w:val="00470133"/>
    <w:rsid w:val="004758C3"/>
    <w:rsid w:val="004932DA"/>
    <w:rsid w:val="004B6012"/>
    <w:rsid w:val="004D5B20"/>
    <w:rsid w:val="004F08D8"/>
    <w:rsid w:val="005557F0"/>
    <w:rsid w:val="00590150"/>
    <w:rsid w:val="00602A9A"/>
    <w:rsid w:val="00605DA7"/>
    <w:rsid w:val="006339B1"/>
    <w:rsid w:val="00643869"/>
    <w:rsid w:val="006456E0"/>
    <w:rsid w:val="006737C7"/>
    <w:rsid w:val="006C71BC"/>
    <w:rsid w:val="006D29B7"/>
    <w:rsid w:val="00733DD0"/>
    <w:rsid w:val="00777111"/>
    <w:rsid w:val="007C3783"/>
    <w:rsid w:val="007C71DD"/>
    <w:rsid w:val="007D0DA0"/>
    <w:rsid w:val="007E3114"/>
    <w:rsid w:val="007E454A"/>
    <w:rsid w:val="00802256"/>
    <w:rsid w:val="0086590E"/>
    <w:rsid w:val="00873E27"/>
    <w:rsid w:val="0088319E"/>
    <w:rsid w:val="008E0BD6"/>
    <w:rsid w:val="009550F8"/>
    <w:rsid w:val="00976BE2"/>
    <w:rsid w:val="009D2DCD"/>
    <w:rsid w:val="009E3E14"/>
    <w:rsid w:val="00A216D0"/>
    <w:rsid w:val="00A27C03"/>
    <w:rsid w:val="00A46D6B"/>
    <w:rsid w:val="00A524D9"/>
    <w:rsid w:val="00A5357C"/>
    <w:rsid w:val="00A53D3D"/>
    <w:rsid w:val="00A62F3B"/>
    <w:rsid w:val="00AD3CC6"/>
    <w:rsid w:val="00AF411D"/>
    <w:rsid w:val="00B510C8"/>
    <w:rsid w:val="00B51138"/>
    <w:rsid w:val="00B672B2"/>
    <w:rsid w:val="00B7261B"/>
    <w:rsid w:val="00BA0DC6"/>
    <w:rsid w:val="00C353CD"/>
    <w:rsid w:val="00C77BE6"/>
    <w:rsid w:val="00CD2691"/>
    <w:rsid w:val="00CF651F"/>
    <w:rsid w:val="00D633A7"/>
    <w:rsid w:val="00D82C0D"/>
    <w:rsid w:val="00D84323"/>
    <w:rsid w:val="00D84466"/>
    <w:rsid w:val="00D916FC"/>
    <w:rsid w:val="00DE53A4"/>
    <w:rsid w:val="00E06E5C"/>
    <w:rsid w:val="00E17D68"/>
    <w:rsid w:val="00E237A2"/>
    <w:rsid w:val="00E237BC"/>
    <w:rsid w:val="00E332F0"/>
    <w:rsid w:val="00E351AA"/>
    <w:rsid w:val="00E44F8D"/>
    <w:rsid w:val="00E80083"/>
    <w:rsid w:val="00E8011A"/>
    <w:rsid w:val="00E8356E"/>
    <w:rsid w:val="00E96042"/>
    <w:rsid w:val="00EA497C"/>
    <w:rsid w:val="00ED3F1F"/>
    <w:rsid w:val="00F1455C"/>
    <w:rsid w:val="00F8761B"/>
    <w:rsid w:val="00FA243E"/>
    <w:rsid w:val="00FA5EB8"/>
    <w:rsid w:val="00FB0E4C"/>
    <w:rsid w:val="00FD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33DD0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33D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33DD0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33D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33DD0"/>
    <w:rPr>
      <w:rFonts w:ascii="Arial" w:hAnsi="Arial" w:cs="Arial"/>
      <w:vanish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733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33DD0"/>
    <w:rPr>
      <w:rFonts w:cs="Times New Roman"/>
      <w:b/>
      <w:bCs/>
    </w:rPr>
  </w:style>
  <w:style w:type="character" w:customStyle="1" w:styleId="sizefile">
    <w:name w:val="size_file"/>
    <w:basedOn w:val="DefaultParagraphFont"/>
    <w:uiPriority w:val="99"/>
    <w:rsid w:val="00733D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DD0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Normal"/>
    <w:next w:val="Normal"/>
    <w:uiPriority w:val="99"/>
    <w:rsid w:val="00CD2691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D2691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16F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8FF9B4E45D8A791CF27CEBA9C1186F2D6647029AA10CB7D3D1A59DCCFEC8F2C1BA96A8FF3158FF31830n9B2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%D0%BD%D0%B0%20%D1%81%D0%B0%D0%B9%D1%82\%E2%84%96%202845%20%D0%BE%D1%82%2028.10.14\%E2%84%96%202845%20%D0%BE%D1%82%2028.10.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%D0%BD%D0%B0%20%D1%81%D0%B0%D0%B9%D1%82\%E2%84%96%202845%20%D0%BE%D1%82%2028.10.14\%E2%84%96%202845%20%D0%BE%D1%82%2028.10.14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%D0%BD%D0%B0%20%D1%81%D0%B0%D0%B9%D1%82\%E2%84%96%202845%20%D0%BE%D1%82%2028.10.14\%E2%84%96%202845%20%D0%BE%D1%82%2028.10.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8</Pages>
  <Words>2962</Words>
  <Characters>16889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2014-12-16T12:14:00Z</cp:lastPrinted>
  <dcterms:created xsi:type="dcterms:W3CDTF">2014-12-04T04:34:00Z</dcterms:created>
  <dcterms:modified xsi:type="dcterms:W3CDTF">2014-12-16T12:17:00Z</dcterms:modified>
</cp:coreProperties>
</file>